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_GB2312" w:eastAsia="仿宋_GB2312"/>
          <w:sz w:val="28"/>
          <w:szCs w:val="28"/>
        </w:rPr>
      </w:pPr>
      <w:bookmarkStart w:id="0" w:name="_GoBack"/>
      <w:bookmarkEnd w:id="0"/>
      <w:r>
        <w:rPr>
          <w:rFonts w:hint="eastAsia" w:ascii="仿宋_GB2312" w:eastAsia="仿宋_GB2312"/>
          <w:sz w:val="28"/>
          <w:szCs w:val="28"/>
        </w:rPr>
        <w:t>附件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7</w:t>
      </w:r>
      <w:r>
        <w:rPr>
          <w:rFonts w:hint="eastAsia" w:ascii="仿宋_GB2312" w:eastAsia="仿宋_GB2312"/>
          <w:sz w:val="28"/>
          <w:szCs w:val="28"/>
        </w:rPr>
        <w:t>：</w:t>
      </w:r>
    </w:p>
    <w:p>
      <w:pPr>
        <w:jc w:val="center"/>
        <w:rPr>
          <w:rFonts w:asciiTheme="majorEastAsia" w:hAnsiTheme="majorEastAsia" w:eastAsiaTheme="majorEastAsia"/>
          <w:sz w:val="44"/>
          <w:szCs w:val="44"/>
        </w:rPr>
      </w:pPr>
      <w:r>
        <w:rPr>
          <w:rFonts w:hint="eastAsia" w:asciiTheme="majorEastAsia" w:hAnsiTheme="majorEastAsia" w:eastAsiaTheme="majorEastAsia"/>
          <w:sz w:val="44"/>
          <w:szCs w:val="44"/>
        </w:rPr>
        <w:t>宝安区文化产业发展资金</w:t>
      </w:r>
    </w:p>
    <w:p>
      <w:pPr>
        <w:jc w:val="center"/>
        <w:rPr>
          <w:rFonts w:asciiTheme="majorEastAsia" w:hAnsiTheme="majorEastAsia" w:eastAsiaTheme="majorEastAsia"/>
          <w:sz w:val="44"/>
          <w:szCs w:val="44"/>
        </w:rPr>
      </w:pPr>
      <w:r>
        <w:rPr>
          <w:rFonts w:hint="eastAsia" w:asciiTheme="majorEastAsia" w:hAnsiTheme="majorEastAsia" w:eastAsiaTheme="majorEastAsia"/>
          <w:sz w:val="44"/>
          <w:szCs w:val="44"/>
        </w:rPr>
        <w:t>财务票据审查处理原则</w:t>
      </w:r>
    </w:p>
    <w:p>
      <w:pPr>
        <w:jc w:val="center"/>
      </w:pPr>
    </w:p>
    <w:tbl>
      <w:tblPr>
        <w:tblStyle w:val="5"/>
        <w:tblW w:w="0" w:type="auto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1"/>
        <w:gridCol w:w="4580"/>
        <w:gridCol w:w="2841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32"/>
                <w:szCs w:val="32"/>
              </w:rPr>
              <w:t>序号</w:t>
            </w:r>
          </w:p>
        </w:tc>
        <w:tc>
          <w:tcPr>
            <w:tcW w:w="4580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32"/>
                <w:szCs w:val="32"/>
              </w:rPr>
              <w:t>票据类型</w:t>
            </w:r>
          </w:p>
        </w:tc>
        <w:tc>
          <w:tcPr>
            <w:tcW w:w="2841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8"/>
                <w:szCs w:val="28"/>
              </w:rPr>
              <w:t>处理原则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  <w:vAlign w:val="center"/>
          </w:tcPr>
          <w:p>
            <w:pPr>
              <w:widowControl/>
              <w:spacing w:line="48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4580" w:type="dxa"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提供的票据与申报项目无关</w:t>
            </w:r>
          </w:p>
        </w:tc>
        <w:tc>
          <w:tcPr>
            <w:tcW w:w="2841" w:type="dxa"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全部予以核减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  <w:vAlign w:val="center"/>
          </w:tcPr>
          <w:p>
            <w:pPr>
              <w:widowControl/>
              <w:spacing w:line="48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4580" w:type="dxa"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提供的票据、合同等不属于申报单位</w:t>
            </w:r>
          </w:p>
        </w:tc>
        <w:tc>
          <w:tcPr>
            <w:tcW w:w="2841" w:type="dxa"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全部予以核减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  <w:vAlign w:val="center"/>
          </w:tcPr>
          <w:p>
            <w:pPr>
              <w:widowControl/>
              <w:spacing w:line="48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3</w:t>
            </w:r>
          </w:p>
        </w:tc>
        <w:tc>
          <w:tcPr>
            <w:tcW w:w="4580" w:type="dxa"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项目合同签订单位属无证经营或超范围经营</w:t>
            </w:r>
          </w:p>
        </w:tc>
        <w:tc>
          <w:tcPr>
            <w:tcW w:w="2841" w:type="dxa"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全部予以核减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  <w:vAlign w:val="center"/>
          </w:tcPr>
          <w:p>
            <w:pPr>
              <w:widowControl/>
              <w:spacing w:line="48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4</w:t>
            </w:r>
          </w:p>
        </w:tc>
        <w:tc>
          <w:tcPr>
            <w:tcW w:w="4580" w:type="dxa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项目合同与个人签订，但项目内容属于应当依法取得营业执照的经营活动</w:t>
            </w:r>
          </w:p>
        </w:tc>
        <w:tc>
          <w:tcPr>
            <w:tcW w:w="2841" w:type="dxa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全部予以核减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  <w:vAlign w:val="center"/>
          </w:tcPr>
          <w:p>
            <w:pPr>
              <w:widowControl/>
              <w:spacing w:line="48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5</w:t>
            </w:r>
          </w:p>
        </w:tc>
        <w:tc>
          <w:tcPr>
            <w:tcW w:w="4580" w:type="dxa"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伪造公章和合同或开具虚假发票</w:t>
            </w:r>
          </w:p>
        </w:tc>
        <w:tc>
          <w:tcPr>
            <w:tcW w:w="2841" w:type="dxa"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全部予以核减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  <w:vAlign w:val="center"/>
          </w:tcPr>
          <w:p>
            <w:pPr>
              <w:widowControl/>
              <w:spacing w:line="48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6</w:t>
            </w:r>
          </w:p>
        </w:tc>
        <w:tc>
          <w:tcPr>
            <w:tcW w:w="4580" w:type="dxa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费用发生时间与项目时间超过6个月</w:t>
            </w:r>
          </w:p>
        </w:tc>
        <w:tc>
          <w:tcPr>
            <w:tcW w:w="2841" w:type="dxa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全部予以核减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  <w:vAlign w:val="center"/>
          </w:tcPr>
          <w:p>
            <w:pPr>
              <w:widowControl/>
              <w:spacing w:line="48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7</w:t>
            </w:r>
          </w:p>
        </w:tc>
        <w:tc>
          <w:tcPr>
            <w:tcW w:w="4580" w:type="dxa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超过1000元现金支付、个人银行转账</w:t>
            </w:r>
          </w:p>
        </w:tc>
        <w:tc>
          <w:tcPr>
            <w:tcW w:w="2841" w:type="dxa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全部予以核减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  <w:vAlign w:val="center"/>
          </w:tcPr>
          <w:p>
            <w:pPr>
              <w:widowControl/>
              <w:spacing w:line="48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8</w:t>
            </w:r>
          </w:p>
        </w:tc>
        <w:tc>
          <w:tcPr>
            <w:tcW w:w="4580" w:type="dxa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合同签订单位、开具发票单位、银行凭证单位等不一致</w:t>
            </w:r>
          </w:p>
        </w:tc>
        <w:tc>
          <w:tcPr>
            <w:tcW w:w="2841" w:type="dxa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全部予以核减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  <w:vAlign w:val="center"/>
          </w:tcPr>
          <w:p>
            <w:pPr>
              <w:widowControl/>
              <w:spacing w:line="48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9</w:t>
            </w:r>
          </w:p>
        </w:tc>
        <w:tc>
          <w:tcPr>
            <w:tcW w:w="4580" w:type="dxa"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无合同或合同要素不齐全、不明晰等</w:t>
            </w:r>
          </w:p>
        </w:tc>
        <w:tc>
          <w:tcPr>
            <w:tcW w:w="2841" w:type="dxa"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全部予以核减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  <w:vAlign w:val="center"/>
          </w:tcPr>
          <w:p>
            <w:pPr>
              <w:widowControl/>
              <w:spacing w:line="48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10</w:t>
            </w:r>
          </w:p>
        </w:tc>
        <w:tc>
          <w:tcPr>
            <w:tcW w:w="4580" w:type="dxa"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整体转包合同</w:t>
            </w:r>
          </w:p>
        </w:tc>
        <w:tc>
          <w:tcPr>
            <w:tcW w:w="2841" w:type="dxa"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全部予以核减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  <w:vAlign w:val="center"/>
          </w:tcPr>
          <w:p>
            <w:pPr>
              <w:widowControl/>
              <w:spacing w:line="48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11</w:t>
            </w:r>
          </w:p>
        </w:tc>
        <w:tc>
          <w:tcPr>
            <w:tcW w:w="4580" w:type="dxa"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截止审计日未付全款</w:t>
            </w:r>
          </w:p>
        </w:tc>
        <w:tc>
          <w:tcPr>
            <w:tcW w:w="2841" w:type="dxa"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未付款项予以核减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  <w:vAlign w:val="center"/>
          </w:tcPr>
          <w:p>
            <w:pPr>
              <w:widowControl/>
              <w:spacing w:line="48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12</w:t>
            </w:r>
          </w:p>
        </w:tc>
        <w:tc>
          <w:tcPr>
            <w:tcW w:w="4580" w:type="dxa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项目支出为项目单位长期固定资产投入或包括项目外的其他投入</w:t>
            </w:r>
          </w:p>
        </w:tc>
        <w:tc>
          <w:tcPr>
            <w:tcW w:w="2841" w:type="dxa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按项目活动时间予以核减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  <w:vAlign w:val="center"/>
          </w:tcPr>
          <w:p>
            <w:pPr>
              <w:widowControl/>
              <w:spacing w:line="48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13</w:t>
            </w:r>
          </w:p>
        </w:tc>
        <w:tc>
          <w:tcPr>
            <w:tcW w:w="4580" w:type="dxa"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提供的票据、合同部分内容不符合申报项目</w:t>
            </w:r>
          </w:p>
        </w:tc>
        <w:tc>
          <w:tcPr>
            <w:tcW w:w="2841" w:type="dxa"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按实际内容分摊予以核减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  <w:vAlign w:val="center"/>
          </w:tcPr>
          <w:p>
            <w:pPr>
              <w:widowControl/>
              <w:spacing w:line="48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14</w:t>
            </w:r>
          </w:p>
        </w:tc>
        <w:tc>
          <w:tcPr>
            <w:tcW w:w="4580" w:type="dxa"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关联公司交易</w:t>
            </w:r>
          </w:p>
        </w:tc>
        <w:tc>
          <w:tcPr>
            <w:tcW w:w="2841" w:type="dxa"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按市场定价予以核减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F0150"/>
    <w:rsid w:val="00220FA6"/>
    <w:rsid w:val="00293C83"/>
    <w:rsid w:val="005D0B22"/>
    <w:rsid w:val="00BF0150"/>
    <w:rsid w:val="00C5486E"/>
    <w:rsid w:val="00D6744A"/>
    <w:rsid w:val="637908B8"/>
    <w:rsid w:val="7C837C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semiHidden/>
    <w:uiPriority w:val="99"/>
    <w:rPr>
      <w:sz w:val="18"/>
      <w:szCs w:val="18"/>
    </w:rPr>
  </w:style>
  <w:style w:type="character" w:customStyle="1" w:styleId="8">
    <w:name w:val="页脚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67</Words>
  <Characters>386</Characters>
  <Lines>3</Lines>
  <Paragraphs>1</Paragraphs>
  <TotalTime>9</TotalTime>
  <ScaleCrop>false</ScaleCrop>
  <LinksUpToDate>false</LinksUpToDate>
  <CharactersWithSpaces>452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2017-09-12T08:52:00Z</dcterms:created>
  <dc:creator>Admin</dc:creator>
  <cp:lastModifiedBy>Roy</cp:lastModifiedBy>
  <dcterms:modified xsi:type="dcterms:W3CDTF">2021-06-01T10:03:46Z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FEABCF025D5242FDA31266DB54E369CF</vt:lpwstr>
  </property>
</Properties>
</file>